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b/>
          <w:bCs/>
          <w:color w:val="D4561F"/>
          <w:sz w:val="24"/>
          <w:szCs w:val="24"/>
        </w:rPr>
        <w:t xml:space="preserve">✦ ParentGlow</w:t>
      </w:r>
    </w:p>
    <w:p>
      <w:pPr>
        <w:pStyle w:val="Title"/>
        <w:spacing w:after="120" w:before="60"/>
      </w:pPr>
      <w:r>
        <w:rPr>
          <w:rFonts w:ascii="Georgia" w:cs="Georgia" w:eastAsia="Georgia" w:hAnsi="Georgia"/>
          <w:color w:val="1F1A17"/>
          <w:sz w:val="52"/>
          <w:szCs w:val="52"/>
        </w:rPr>
        <w:t xml:space="preserve">Our parenting plan</w:t>
      </w:r>
    </w:p>
    <w:p>
      <w:pPr>
        <w:spacing w:after="200"/>
      </w:pPr>
      <w:r>
        <w:rPr>
          <w:color w:val="6B625C"/>
        </w:rPr>
        <w:t xml:space="preserve">This is our voluntary agreement for how we’ll raise our children across two homes. It’s a shared understanding to keep everyone on the same page — </w:t>
      </w:r>
      <w:r>
        <w:rPr>
          <w:b/>
          <w:bCs/>
          <w:color w:val="1F1A17"/>
        </w:rPr>
        <w:t xml:space="preserve">not a court order</w:t>
      </w:r>
      <w:r>
        <w:rPr>
          <w:color w:val="6B625C"/>
        </w:rPr>
        <w:t xml:space="preserve">, and not automatically legally binding.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319"/>
        <w:gridCol w:w="1500"/>
        <w:gridCol w:w="3319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color w:val="6B625C"/>
                <w:sz w:val="21"/>
                <w:szCs w:val="21"/>
              </w:rPr>
              <w:t xml:space="preserve">Parent A</w:t>
            </w:r>
          </w:p>
        </w:tc>
        <w:tc>
          <w:tcPr>
            <w:tcW w:type="dxa" w:w="3319"/>
            <w:tcBorders>
              <w:top w:val="none" w:color="FFFFFF" w:sz="0"/>
              <w:left w:val="none" w:color="FFFFFF" w:sz="0"/>
              <w:bottom w:val="single" w:color="C9BFB7" w:sz="4"/>
              <w:right w:val="none" w:color="FFFFFF" w:sz="0"/>
            </w:tcBorders>
            <w:tcMar>
              <w:top w:type="dxa" w:w="80"/>
              <w:left w:type="dxa" w:w="80"/>
              <w:bottom w:type="dxa" w:w="8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color w:val="6B625C"/>
                <w:sz w:val="21"/>
                <w:szCs w:val="21"/>
              </w:rPr>
              <w:t xml:space="preserve">Parent B</w:t>
            </w:r>
          </w:p>
        </w:tc>
        <w:tc>
          <w:tcPr>
            <w:tcW w:type="dxa" w:w="3319"/>
            <w:tcBorders>
              <w:top w:val="none" w:color="FFFFFF" w:sz="0"/>
              <w:left w:val="none" w:color="FFFFFF" w:sz="0"/>
              <w:bottom w:val="single" w:color="C9BFB7" w:sz="4"/>
              <w:right w:val="none" w:color="FFFFFF" w:sz="0"/>
            </w:tcBorders>
            <w:tcMar>
              <w:top w:type="dxa" w:w="80"/>
              <w:left w:type="dxa" w:w="80"/>
              <w:bottom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color w:val="6B625C"/>
                <w:sz w:val="21"/>
                <w:szCs w:val="21"/>
              </w:rPr>
              <w:t xml:space="preserve">Children</w:t>
            </w:r>
          </w:p>
        </w:tc>
        <w:tc>
          <w:tcPr>
            <w:tcW w:type="dxa" w:w="3319"/>
            <w:tcBorders>
              <w:top w:val="none" w:color="FFFFFF" w:sz="0"/>
              <w:left w:val="none" w:color="FFFFFF" w:sz="0"/>
              <w:bottom w:val="single" w:color="C9BFB7" w:sz="4"/>
              <w:right w:val="none" w:color="FFFFFF" w:sz="0"/>
            </w:tcBorders>
            <w:tcMar>
              <w:top w:type="dxa" w:w="80"/>
              <w:left w:type="dxa" w:w="80"/>
              <w:bottom w:type="dxa" w:w="8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color w:val="6B625C"/>
                <w:sz w:val="21"/>
                <w:szCs w:val="21"/>
              </w:rPr>
              <w:t xml:space="preserve">Date</w:t>
            </w:r>
          </w:p>
        </w:tc>
        <w:tc>
          <w:tcPr>
            <w:tcW w:type="dxa" w:w="3319"/>
            <w:tcBorders>
              <w:top w:val="none" w:color="FFFFFF" w:sz="0"/>
              <w:left w:val="none" w:color="FFFFFF" w:sz="0"/>
              <w:bottom w:val="single" w:color="C9BFB7" w:sz="4"/>
              <w:right w:val="none" w:color="FFFFFF" w:sz="0"/>
            </w:tcBorders>
            <w:tcMar>
              <w:top w:type="dxa" w:w="80"/>
              <w:left w:type="dxa" w:w="80"/>
              <w:bottom w:type="dxa" w:w="80"/>
            </w:tcMar>
          </w:tcPr>
          <w:p>
            <w:r>
              <w:t xml:space="preserve"/>
            </w:r>
          </w:p>
        </w:tc>
      </w:tr>
    </w:tbl>
    <w:p>
      <w:pPr>
        <w:pBdr>
          <w:bottom w:val="single" w:color="D4561F" w:sz="12" w:space="4"/>
        </w:pBdr>
        <w:spacing w:after="240"/>
      </w:pPr>
    </w:p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1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Living arrangements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Where the children mainly live, and where they stay with each parent.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2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The weekly pattern &amp; contact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Whose days, the routine, and how time is shared (contact, not “custody”).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3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Handovers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Where, when, who does drop-off and pick-up, and how to keep them calm.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4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Holidays &amp; special days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School holidays, half-terms, Christmas, birthdays, Mother’s/Father’s Day.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5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School &amp; education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The school run, parents’ evenings, who’s told what, big decisions together.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6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Health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NHS number and GP, medicines across both homes, who handles appointments.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7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Money &amp; shared costs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How you’ll split clubs, uniform, trips and prescriptions, and how to settle up.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8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Communication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How you’ll talk, response times, and keeping it child-focused.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9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Decision-making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The big decisions you’ll make together (school, medical, moving).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Style w:val="Heading1"/>
        <w:keepNext/>
        <w:keepLines/>
        <w:spacing w:after="40" w:before="240"/>
      </w:pPr>
      <w:r>
        <w:rPr>
          <w:b/>
          <w:bCs/>
          <w:color w:val="B24215"/>
          <w:sz w:val="22"/>
          <w:szCs w:val="22"/>
          <w:shd w:fill="FFE8DB" w:color="auto" w:val="clear"/>
        </w:rPr>
        <w:t xml:space="preserve"> 10 </w:t>
      </w:r>
      <w:r>
        <w:rPr>
          <w:rFonts w:ascii="Georgia" w:cs="Georgia" w:eastAsia="Georgia" w:hAnsi="Georgia"/>
          <w:color w:val="1F1A17"/>
          <w:sz w:val="28"/>
          <w:szCs w:val="28"/>
        </w:rPr>
        <w:t xml:space="preserve">  Reviewing &amp; changing it</w:t>
      </w:r>
    </w:p>
    <w:p>
      <w:pPr>
        <w:keepNext/>
        <w:spacing w:after="100"/>
      </w:pPr>
      <w:r>
        <w:rPr>
          <w:i/>
          <w:iCs/>
          <w:color w:val="6B625C"/>
          <w:sz w:val="21"/>
          <w:szCs w:val="21"/>
        </w:rPr>
        <w:t xml:space="preserve">When you’ll revisit the plan as the children grow.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BFB7" w:sz="4"/>
              <w:left w:val="single" w:color="C9BFB7" w:sz="4"/>
              <w:bottom w:val="single" w:color="C9BFB7" w:sz="4"/>
              <w:right w:val="single" w:color="C9BF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  <w:p>
            <w:pPr>
              <w:spacing w:after="120"/>
            </w:pPr>
            <w:r>
              <w:t xml:space="preserve"/>
            </w:r>
          </w:p>
        </w:tc>
      </w:tr>
    </w:tbl>
    <w:p>
      <w:pPr>
        <w:pBdr>
          <w:top w:val="single" w:color="C9BFB7" w:sz="4" w:space="8"/>
        </w:pBdr>
        <w:spacing w:after="80" w:before="360"/>
      </w:pPr>
      <w:r>
        <w:rPr>
          <w:color w:val="6B625C"/>
          <w:sz w:val="19"/>
          <w:szCs w:val="19"/>
        </w:rPr>
        <w:t xml:space="preserve">Made with </w:t>
      </w:r>
      <w:r>
        <w:rPr>
          <w:b/>
          <w:bCs/>
          <w:color w:val="6B625C"/>
          <w:sz w:val="19"/>
          <w:szCs w:val="19"/>
        </w:rPr>
        <w:t xml:space="preserve">ParentGlow</w:t>
      </w:r>
      <w:r>
        <w:rPr>
          <w:color w:val="6B625C"/>
          <w:sz w:val="19"/>
          <w:szCs w:val="19"/>
        </w:rPr>
        <w:t xml:space="preserve"> · </w:t>
      </w:r>
      <w:hyperlink w:history="1" r:id="rIdp4jegcohvsy0uyjm6ccvq">
        <w:r>
          <w:rPr>
            <w:rStyle w:val="Hyperlink"/>
            <w:sz w:val="19"/>
            <w:szCs w:val="19"/>
          </w:rPr>
          <w:t xml:space="preserve">parentglow.co.uk</w:t>
        </w:r>
      </w:hyperlink>
      <w:r>
        <w:rPr>
          <w:color w:val="6B625C"/>
          <w:sz w:val="19"/>
          <w:szCs w:val="19"/>
        </w:rPr>
        <w:t xml:space="preserve"> — keep it living in the app: the shared calendar holds the pattern, and the “What we agreed” screen keeps a calm record of what you decided.</w:t>
      </w:r>
    </w:p>
    <w:p>
      <w:r>
        <w:rPr>
          <w:color w:val="6B625C"/>
          <w:sz w:val="17"/>
          <w:szCs w:val="17"/>
        </w:rPr>
        <w:t xml:space="preserve">A parenting plan is a voluntary agreement, not a court order; it can be made legally binding through a court consent order, which is a separate step. ParentGlow isn’t legal-advice software — for advice, speak to a family mediator or solicitor, or see GOV.UK and CAFCASS.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625C"/>
        <w:sz w:val="16"/>
        <w:szCs w:val="16"/>
      </w:rPr>
      <w:t xml:space="preserve">Our parenting plan · parentglow.co.uk · page </w:t>
    </w:r>
    <w:r>
      <w:rPr>
        <w:color w:val="6B62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A17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4jegcohvsy0uyjm6ccvq" Type="http://schemas.openxmlformats.org/officeDocument/2006/relationships/hyperlink" Target="https://parentglow.co.uk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parenting plan</dc:title>
  <dc:creator>ParentGlow</dc:creator>
  <dc:description>Free UK parenting plan template from parentglow.co.uk</dc:description>
  <cp:lastModifiedBy>Un-named</cp:lastModifiedBy>
  <cp:revision>1</cp:revision>
  <dcterms:created xsi:type="dcterms:W3CDTF">2026-10-09T00:51:37.174Z</dcterms:created>
  <dcterms:modified xsi:type="dcterms:W3CDTF">2026-10-09T00:51:37.175Z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